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69" w:rsidRPr="00DA7859" w:rsidRDefault="00284269" w:rsidP="0028426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FB861C" wp14:editId="1C54908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0" name="Imagem 8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50504P2</w:t>
      </w:r>
    </w:p>
    <w:p w:rsidR="00284269" w:rsidRPr="00DA7859" w:rsidRDefault="00284269" w:rsidP="00284269">
      <w:pPr>
        <w:spacing w:after="0"/>
        <w:rPr>
          <w:b/>
        </w:rPr>
      </w:pPr>
      <w:r w:rsidRPr="00316CE2">
        <w:rPr>
          <w:b/>
          <w:noProof/>
        </w:rPr>
        <w:t>Barra de apoio reta Inox brilhante, 400 mm Ø 32</w:t>
      </w:r>
    </w:p>
    <w:p w:rsidR="00284269" w:rsidRPr="00DA7859" w:rsidRDefault="00284269" w:rsidP="00284269">
      <w:pPr>
        <w:spacing w:after="0"/>
      </w:pPr>
    </w:p>
    <w:p w:rsidR="00284269" w:rsidRPr="00DA7859" w:rsidRDefault="00284269" w:rsidP="00284269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50504P2</w:t>
      </w:r>
      <w:r w:rsidRPr="00DA7859">
        <w:t xml:space="preserve"> </w:t>
      </w:r>
    </w:p>
    <w:p w:rsidR="00284269" w:rsidRPr="00DA7859" w:rsidRDefault="00284269" w:rsidP="00284269">
      <w:pPr>
        <w:spacing w:after="0"/>
      </w:pPr>
    </w:p>
    <w:p w:rsidR="00284269" w:rsidRPr="00D84BF4" w:rsidRDefault="00284269" w:rsidP="00284269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284269" w:rsidRPr="00316CE2" w:rsidRDefault="00284269" w:rsidP="00284269">
      <w:pPr>
        <w:spacing w:after="0"/>
        <w:rPr>
          <w:noProof/>
        </w:rPr>
      </w:pPr>
      <w:r w:rsidRPr="00316CE2">
        <w:rPr>
          <w:noProof/>
        </w:rPr>
        <w:t>Barra de apoio reta para PMR.</w:t>
      </w:r>
    </w:p>
    <w:p w:rsidR="00284269" w:rsidRPr="00316CE2" w:rsidRDefault="00284269" w:rsidP="00284269">
      <w:pPr>
        <w:spacing w:after="0"/>
        <w:rPr>
          <w:noProof/>
        </w:rPr>
      </w:pPr>
      <w:r w:rsidRPr="00316CE2">
        <w:rPr>
          <w:noProof/>
        </w:rPr>
        <w:t>Tubo Ø 32, entre-eixos 400 mm.</w:t>
      </w:r>
    </w:p>
    <w:p w:rsidR="00284269" w:rsidRPr="00316CE2" w:rsidRDefault="00284269" w:rsidP="00284269">
      <w:pPr>
        <w:spacing w:after="0"/>
        <w:rPr>
          <w:noProof/>
        </w:rPr>
      </w:pPr>
      <w:r w:rsidRPr="00316CE2">
        <w:rPr>
          <w:noProof/>
        </w:rPr>
        <w:t>Utilização como barra de apoio e elevação para WC, duche ou banheira.</w:t>
      </w:r>
    </w:p>
    <w:p w:rsidR="00284269" w:rsidRPr="00316CE2" w:rsidRDefault="00284269" w:rsidP="00284269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284269" w:rsidRPr="00316CE2" w:rsidRDefault="00284269" w:rsidP="00284269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284269" w:rsidRPr="00316CE2" w:rsidRDefault="00284269" w:rsidP="00284269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284269" w:rsidRPr="00316CE2" w:rsidRDefault="00284269" w:rsidP="00284269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284269" w:rsidRPr="00316CE2" w:rsidRDefault="00284269" w:rsidP="00284269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284269" w:rsidRPr="00316CE2" w:rsidRDefault="00284269" w:rsidP="00284269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284269" w:rsidRPr="00316CE2" w:rsidRDefault="00284269" w:rsidP="00284269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284269" w:rsidRPr="00316CE2" w:rsidRDefault="00284269" w:rsidP="00284269">
      <w:pPr>
        <w:spacing w:after="0"/>
        <w:rPr>
          <w:noProof/>
        </w:rPr>
      </w:pPr>
      <w:r w:rsidRPr="00316CE2">
        <w:rPr>
          <w:noProof/>
        </w:rPr>
        <w:t>Testado com mais de 250 kg. Peso máximo do utilizador recomendado : 170 kg.</w:t>
      </w:r>
    </w:p>
    <w:p w:rsidR="00284269" w:rsidRPr="00D84BF4" w:rsidRDefault="00284269" w:rsidP="00284269">
      <w:pPr>
        <w:spacing w:after="0"/>
        <w:sectPr w:rsidR="00284269" w:rsidRPr="00D84BF4" w:rsidSect="0028426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284269"/>
    <w:sectPr w:rsidR="00EC095B" w:rsidSect="00284269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284269">
    <w:pPr>
      <w:pStyle w:val="Cabealho"/>
    </w:pPr>
  </w:p>
  <w:p w:rsidR="000543B5" w:rsidRDefault="002842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69"/>
    <w:rsid w:val="0000585D"/>
    <w:rsid w:val="0028426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8D023-1CE2-4FA5-A86C-5124612A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842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8426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