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8C" w:rsidRPr="00A01264" w:rsidRDefault="007B628C" w:rsidP="007B628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1306C7" wp14:editId="10F7D55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8" name="Imagem 2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463326</w:t>
      </w:r>
    </w:p>
    <w:p w:rsidR="007B628C" w:rsidRPr="00A01264" w:rsidRDefault="007B628C" w:rsidP="007B628C">
      <w:pPr>
        <w:spacing w:after="0"/>
        <w:rPr>
          <w:b/>
        </w:rPr>
      </w:pPr>
      <w:r w:rsidRPr="002A6872">
        <w:rPr>
          <w:b/>
          <w:noProof/>
        </w:rPr>
        <w:t>Torneira de descarga direta TEMPOMATIC</w:t>
      </w:r>
    </w:p>
    <w:p w:rsidR="007B628C" w:rsidRPr="00A01264" w:rsidRDefault="007B628C" w:rsidP="007B628C">
      <w:pPr>
        <w:spacing w:after="0"/>
      </w:pPr>
    </w:p>
    <w:p w:rsidR="007B628C" w:rsidRPr="00A01264" w:rsidRDefault="007B628C" w:rsidP="007B628C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463326</w:t>
      </w:r>
      <w:r w:rsidRPr="00A01264">
        <w:t xml:space="preserve"> </w:t>
      </w:r>
    </w:p>
    <w:p w:rsidR="007B628C" w:rsidRPr="00A01264" w:rsidRDefault="007B628C" w:rsidP="007B628C">
      <w:pPr>
        <w:spacing w:after="0"/>
      </w:pPr>
    </w:p>
    <w:p w:rsidR="007B628C" w:rsidRPr="00D761E3" w:rsidRDefault="007B628C" w:rsidP="007B628C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Torneira eletrónica de descarga direta encastrada :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Alimentação por corrente com eletroválvula 1".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Transformador 230/12 V.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Módulo eletrónico IP65 independente.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Caixa de encastramento com placa Inox satinado 320 x 220 mm.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Abertura voluntária (por aproximação da mão a cerca de 10 cm) ou automática com a partida do utilizador.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Temporização ~7 seg. regulável de 3 a 12 seg.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Distância de deteção e débito / volume reguláveis.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Torneira de segurança FF 1".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Saída anti-sifónica Ø 32.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Emboque de junção Ø 32/55.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Débito de base : 1l/seg.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Adaptada às sanitas sem flange.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7B628C" w:rsidRPr="002A6872" w:rsidRDefault="007B628C" w:rsidP="007B628C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7B628C" w:rsidRPr="00D761E3" w:rsidRDefault="007B628C" w:rsidP="007B628C">
      <w:pPr>
        <w:spacing w:after="0"/>
        <w:sectPr w:rsidR="007B628C" w:rsidRPr="00D761E3" w:rsidSect="007B628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Este modelo de torneira não está equipado com caixa de encastramento estanque. O instalador deverá prever a estanquidade do espaço de encastramento assim como a evacuação de eventuais </w:t>
      </w:r>
    </w:p>
    <w:p w:rsidR="00EC095B" w:rsidRDefault="00EC095B"/>
    <w:sectPr w:rsidR="00EC095B" w:rsidSect="007B628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7B628C">
    <w:pPr>
      <w:pStyle w:val="Cabealho"/>
    </w:pPr>
  </w:p>
  <w:p w:rsidR="00BE7AEF" w:rsidRDefault="007B6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8C"/>
    <w:rsid w:val="0000585D"/>
    <w:rsid w:val="007B628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B56F9-0AB5-4A5C-B3E7-FF1F606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B62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B628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