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Sistema de descarga de água TEMPOFLUX 1</w:t></w:r></w:p><w:p><w:pPr/><w:r><w:rPr><w:rFonts w:ascii="Calibri" w:hAnsi="Calibri" w:eastAsia="Calibri" w:cs="Calibri"/><w:sz w:val="22"/><w:szCs w:val="22"/></w:rPr><w:t xml:space="preserve">Sistema de descarga direta temporizado WC</w:t></w:r></w:p><w:p><w:pPr/><w:r><w:rPr><w:rFonts w:ascii="Calibri" w:hAnsi="Calibri" w:eastAsia="Calibri" w:cs="Calibri"/><w:sz w:val="22"/><w:szCs w:val="22"/></w:rPr><w:t xml:space="preserve">Exterior, casquilho Ø 24/25, sem torn. de seg.</w:t></w:r></w:p><w:p/><w:p><w:pPr/><w:r><w:rPr><w:rFonts w:ascii="Calibri" w:hAnsi="Calibri" w:eastAsia="Calibri" w:cs="Calibri"/><w:sz w:val="22"/><w:szCs w:val="22"/></w:rPr><w:t xml:space="preserve">Referência: </w:t></w:r><w:r><w:rPr><w:rFonts w:ascii="Calibri" w:hAnsi="Calibri" w:eastAsia="Calibri" w:cs="Calibri"/><w:color w:val="0088bc"/><w:sz w:val="22"/><w:szCs w:val="22"/><w:b w:val="1"/><w:bCs w:val="1"/></w:rPr><w:t xml:space="preserve">761025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Info Prescrição</w:t></w:r></w:p><w:p/><w:p><w:pPr><w:spacing w:line="288" w:lineRule="auto"/></w:pPr><w:r><w:rPr><w:rFonts w:ascii="Calibri" w:hAnsi="Calibri" w:eastAsia="Calibri" w:cs="Calibri"/><w:sz w:val="22"/><w:szCs w:val="22"/></w:rPr><w:t xml:space="preserve">Sistema de descarga de água sem reservatório: por ligação direta à canalização.</w:t></w:r></w:p><w:p><w:pPr><w:spacing w:line="288" w:lineRule="auto"/></w:pPr><w:r><w:rPr><w:rFonts w:ascii="Calibri" w:hAnsi="Calibri" w:eastAsia="Calibri" w:cs="Calibri"/><w:sz w:val="22"/><w:szCs w:val="22"/></w:rPr><w:t xml:space="preserve">Instalação mural à face.</w:t></w:r></w:p><w:p><w:pPr><w:spacing w:line="288" w:lineRule="auto"/></w:pPr><w:r><w:rPr><w:rFonts w:ascii="Calibri" w:hAnsi="Calibri" w:eastAsia="Calibri" w:cs="Calibri"/><w:sz w:val="22"/><w:szCs w:val="22"/></w:rPr><w:t xml:space="preserve">Abertura suave.</w:t></w:r></w:p><w:p><w:pPr><w:spacing w:line="288" w:lineRule="auto"/></w:pPr><w:r><w:rPr><w:rFonts w:ascii="Calibri" w:hAnsi="Calibri" w:eastAsia="Calibri" w:cs="Calibri"/><w:sz w:val="22"/><w:szCs w:val="22"/></w:rPr><w:t xml:space="preserve">Temporização ~7 segundos.</w:t></w:r></w:p><w:p><w:pPr><w:spacing w:line="288" w:lineRule="auto"/></w:pPr><w:r><w:rPr><w:rFonts w:ascii="Calibri" w:hAnsi="Calibri" w:eastAsia="Calibri" w:cs="Calibri"/><w:sz w:val="22"/><w:szCs w:val="22"/></w:rPr><w:t xml:space="preserve">Proteção antisifónica.</w:t></w:r></w:p><w:p><w:pPr><w:spacing w:line="288" w:lineRule="auto"/></w:pPr><w:r><w:rPr><w:rFonts w:ascii="Calibri" w:hAnsi="Calibri" w:eastAsia="Calibri" w:cs="Calibri"/><w:sz w:val="22"/><w:szCs w:val="22"/></w:rPr><w:t xml:space="preserve">Corpo e botão de latão maciço cromado.</w:t></w:r></w:p><w:p><w:pPr><w:spacing w:line="288" w:lineRule="auto"/></w:pPr><w:r><w:rPr><w:rFonts w:ascii="Calibri" w:hAnsi="Calibri" w:eastAsia="Calibri" w:cs="Calibri"/><w:sz w:val="22"/><w:szCs w:val="22"/></w:rPr><w:t xml:space="preserve">Alimentação em esquadria M3/4".</w:t></w:r></w:p><w:p><w:pPr><w:spacing w:line="288" w:lineRule="auto"/></w:pPr><w:r><w:rPr><w:rFonts w:ascii="Calibri" w:hAnsi="Calibri" w:eastAsia="Calibri" w:cs="Calibri"/><w:sz w:val="22"/><w:szCs w:val="22"/></w:rPr><w:t xml:space="preserve">Com casquilho Ø 25 e Ø 24 cromado (substituição dos modelos SCHELL & BINE 120000).</w:t></w:r></w:p><w:p><w:pPr><w:spacing w:line="288" w:lineRule="auto"/></w:pPr><w:r><w:rPr><w:rFonts w:ascii="Calibri" w:hAnsi="Calibri" w:eastAsia="Calibri" w:cs="Calibri"/><w:sz w:val="22"/><w:szCs w:val="22"/></w:rPr><w:t xml:space="preserve">Diâmetro de alimentação: Ø 20 mm no interior em todos os pontos, no mínimo.</w:t></w:r></w:p><w:p><w:pPr><w:spacing w:line="288" w:lineRule="auto"/></w:pPr><w:r><w:rPr><w:rFonts w:ascii="Calibri" w:hAnsi="Calibri" w:eastAsia="Calibri" w:cs="Calibri"/><w:sz w:val="22"/><w:szCs w:val="22"/></w:rPr><w:t xml:space="preserve">Débito de base: 1 l/seg a 1 bar dinâmica.</w:t></w:r></w:p><w:p><w:pPr><w:spacing w:line="288" w:lineRule="auto"/></w:pPr><w:r><w:rPr><w:rFonts w:ascii="Calibri" w:hAnsi="Calibri" w:eastAsia="Calibri" w:cs="Calibri"/><w:sz w:val="22"/><w:szCs w:val="22"/></w:rPr><w:t xml:space="preserve">Compatível com águas pluviais.</w:t></w:r></w:p><w:p><w:pPr><w:spacing w:line="288" w:lineRule="auto"/></w:pPr><w:r><w:rPr><w:rFonts w:ascii="Calibri" w:hAnsi="Calibri" w:eastAsia="Calibri" w:cs="Calibri"/><w:sz w:val="22"/><w:szCs w:val="22"/></w:rPr><w:t xml:space="preserve">Adaptado para PMR.</w:t></w:r></w:p><w:p><w:pPr><w:spacing w:line="288" w:lineRule="auto"/></w:pPr><w:r><w:rPr><w:rFonts w:ascii="Calibri" w:hAnsi="Calibri" w:eastAsia="Calibri" w:cs="Calibri"/><w:sz w:val="22"/><w:szCs w:val="22"/></w:rPr><w:t xml:space="preserve">Garantia 30 anos.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2026-01-13T23:55:42+01:00</dcterms:created>
  <dcterms:modified xsi:type="dcterms:W3CDTF">2026-01-13T23:55:42+01:00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