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Sistema de descarga de água TEMPOFLUX 1</w:t></w:r></w:p><w:p><w:pPr/><w:r><w:rPr><w:rFonts w:ascii="Calibri" w:hAnsi="Calibri" w:eastAsia="Calibri" w:cs="Calibri"/><w:sz w:val="22"/><w:szCs w:val="22"/></w:rPr><w:t xml:space="preserve">Sistema de descarga direta temporizado WC</w:t></w:r></w:p><w:p><w:pPr/><w:r><w:rPr><w:rFonts w:ascii="Calibri" w:hAnsi="Calibri" w:eastAsia="Calibri" w:cs="Calibri"/><w:sz w:val="22"/><w:szCs w:val="22"/></w:rPr><w:t xml:space="preserve">Exterior, casquilho Ø 24/25, sem torn. de seg.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Sistema de descarga de água sem reservatório: por ligação direta à canalização.</w:t></w:r></w:p><w:p><w:pPr><w:spacing w:line="288" w:lineRule="auto"/></w:pPr><w:r><w:rPr><w:rFonts w:ascii="Calibri" w:hAnsi="Calibri" w:eastAsia="Calibri" w:cs="Calibri"/><w:sz w:val="22"/><w:szCs w:val="22"/></w:rPr><w:t xml:space="preserve">Instalação mural à face.</w:t></w:r></w:p><w:p><w:pPr><w:spacing w:line="288" w:lineRule="auto"/></w:pPr><w:r><w:rPr><w:rFonts w:ascii="Calibri" w:hAnsi="Calibri" w:eastAsia="Calibri" w:cs="Calibri"/><w:sz w:val="22"/><w:szCs w:val="22"/></w:rPr><w:t xml:space="preserve">Abertura suave.</w:t></w:r></w:p><w:p><w:pPr><w:spacing w:line="288" w:lineRule="auto"/></w:pPr><w:r><w:rPr><w:rFonts w:ascii="Calibri" w:hAnsi="Calibri" w:eastAsia="Calibri" w:cs="Calibri"/><w:sz w:val="22"/><w:szCs w:val="22"/></w:rPr><w:t xml:space="preserve">Temporização ~7 segundos.</w:t></w:r></w:p><w:p><w:pPr><w:spacing w:line="288" w:lineRule="auto"/></w:pPr><w:r><w:rPr><w:rFonts w:ascii="Calibri" w:hAnsi="Calibri" w:eastAsia="Calibri" w:cs="Calibri"/><w:sz w:val="22"/><w:szCs w:val="22"/></w:rPr><w:t xml:space="preserve">Proteção antisifónica.</w:t></w:r></w:p><w:p><w:pPr><w:spacing w:line="288" w:lineRule="auto"/></w:pPr><w:r><w:rPr><w:rFonts w:ascii="Calibri" w:hAnsi="Calibri" w:eastAsia="Calibri" w:cs="Calibri"/><w:sz w:val="22"/><w:szCs w:val="22"/></w:rPr><w:t xml:space="preserve">Corpo e botão de latão maciço cromado.</w:t></w:r></w:p><w:p><w:pPr><w:spacing w:line="288" w:lineRule="auto"/></w:pPr><w:r><w:rPr><w:rFonts w:ascii="Calibri" w:hAnsi="Calibri" w:eastAsia="Calibri" w:cs="Calibri"/><w:sz w:val="22"/><w:szCs w:val="22"/></w:rPr><w:t xml:space="preserve">Alimentação em esquadria M3/4".</w:t></w:r></w:p><w:p><w:pPr><w:spacing w:line="288" w:lineRule="auto"/></w:pPr><w:r><w:rPr><w:rFonts w:ascii="Calibri" w:hAnsi="Calibri" w:eastAsia="Calibri" w:cs="Calibri"/><w:sz w:val="22"/><w:szCs w:val="22"/></w:rPr><w:t xml:space="preserve">Com casquilho Ø 25 e Ø 24 cromado (substituição dos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Diâmetro de alimentação: Ø 20 mm no interior em todos os pontos, no mínimo.</w:t></w:r></w:p><w:p><w:pPr><w:spacing w:line="288" w:lineRule="auto"/></w:pPr><w:r><w:rPr><w:rFonts w:ascii="Calibri" w:hAnsi="Calibri" w:eastAsia="Calibri" w:cs="Calibri"/><w:sz w:val="22"/><w:szCs w:val="22"/></w:rPr><w:t xml:space="preserve">Débito de base: 1 l/seg a 1 bar dinâmica.</w:t></w:r></w:p><w:p><w:pPr><w:spacing w:line="288" w:lineRule="auto"/></w:pPr><w:r><w:rPr><w:rFonts w:ascii="Calibri" w:hAnsi="Calibri" w:eastAsia="Calibri" w:cs="Calibri"/><w:sz w:val="22"/><w:szCs w:val="22"/></w:rPr><w:t xml:space="preserve">Compatível com águas pluviais.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2026-02-16T19:10:20+01:00</dcterms:created>
  <dcterms:modified xsi:type="dcterms:W3CDTF">2026-02-16T19:10:20+01:00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