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Tubo de alimentação</w:t></w:r></w:p><w:p><w:pPr/><w:r><w:rPr><w:rFonts w:ascii="Calibri" w:hAnsi="Calibri" w:eastAsia="Calibri" w:cs="Calibri"/><w:sz w:val="22"/><w:szCs w:val="22"/></w:rPr><w:t xml:space="preserve">Para urinol vulgar ou sifónico</w:t></w:r></w:p><w:p><w:pPr/><w:r><w:rPr><w:rFonts w:ascii="Calibri" w:hAnsi="Calibri" w:eastAsia="Calibri" w:cs="Calibri"/><w:sz w:val="22"/><w:szCs w:val="22"/></w:rPr><w:t xml:space="preserve">F1/2", Ø 35</w:t></w:r></w:p><w:p/><w:p><w:pPr/><w:r><w:rPr><w:rFonts w:ascii="Calibri" w:hAnsi="Calibri" w:eastAsia="Calibri" w:cs="Calibri"/><w:sz w:val="22"/><w:szCs w:val="22"/></w:rPr><w:t xml:space="preserve">Referência: </w:t></w:r><w:r><w:rPr><w:rFonts w:ascii="Calibri" w:hAnsi="Calibri" w:eastAsia="Calibri" w:cs="Calibri"/><w:color w:val="0088bc"/><w:sz w:val="22"/><w:szCs w:val="22"/><w:b w:val="1"/><w:bCs w:val="1"/></w:rPr><w:t xml:space="preserve">752000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Info Prescrição</w:t></w:r></w:p><w:p/><w:p><w:pPr><w:spacing w:line="288" w:lineRule="auto"/></w:pPr><w:r><w:rPr><w:rFonts w:ascii="Calibri" w:hAnsi="Calibri" w:eastAsia="Calibri" w:cs="Calibri"/><w:sz w:val="22"/><w:szCs w:val="22"/></w:rPr><w:t xml:space="preserve">Tubo de alimentação para urinol vulgar ou sifónico:</w:t></w:r></w:p><w:p><w:pPr><w:spacing w:line="288" w:lineRule="auto"/></w:pPr><w:r><w:rPr><w:rFonts w:ascii="Calibri" w:hAnsi="Calibri" w:eastAsia="Calibri" w:cs="Calibri"/><w:sz w:val="22"/><w:szCs w:val="22"/></w:rPr><w:t xml:space="preserve">F1/2" Ø 35.</w:t></w:r></w:p><w:p><w:pPr><w:spacing w:line="288" w:lineRule="auto"/></w:pPr><w:r><w:rPr><w:rFonts w:ascii="Calibri" w:hAnsi="Calibri" w:eastAsia="Calibri" w:cs="Calibri"/><w:sz w:val="22"/><w:szCs w:val="22"/></w:rPr><w:t xml:space="preserve">DURAVIT Duravit No.1, Jim, Me by Starck.</w:t></w:r></w:p><w:p><w:pPr><w:spacing w:line="288" w:lineRule="auto"/></w:pPr><w:r><w:rPr><w:rFonts w:ascii="Calibri" w:hAnsi="Calibri" w:eastAsia="Calibri" w:cs="Calibri"/><w:sz w:val="22"/><w:szCs w:val="22"/></w:rPr><w:t xml:space="preserve">GEBERIT Renova Trigonal.</w:t></w:r></w:p><w:p><w:pPr><w:spacing w:line="288" w:lineRule="auto"/></w:pPr><w:r><w:rPr><w:rFonts w:ascii="Calibri" w:hAnsi="Calibri" w:eastAsia="Calibri" w:cs="Calibri"/><w:sz w:val="22"/><w:szCs w:val="22"/></w:rPr><w:t xml:space="preserve">ROCA Chic, Euret, Mini, Spun.</w:t></w:r></w:p><w:p><w:pPr><w:spacing w:line="288" w:lineRule="auto"/></w:pPr><w:r><w:rPr><w:rFonts w:ascii="Calibri" w:hAnsi="Calibri" w:eastAsia="Calibri" w:cs="Calibri"/><w:sz w:val="22"/><w:szCs w:val="22"/></w:rPr><w:t xml:space="preserve">VILLEROY & BOCH O.Novo, Arkitek</w:t></w:r></w:p><w:p><w:pPr><w:spacing w:line="288" w:lineRule="auto"/></w:pPr><w:r><w:rPr><w:rFonts w:ascii="Calibri" w:hAnsi="Calibri" w:eastAsia="Calibri" w:cs="Calibri"/><w:sz w:val="22"/><w:szCs w:val="22"/></w:rPr><w:t xml:space="preserve">Garantia 30 anos.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2026-04-08T22:54:53+02:00</dcterms:created>
  <dcterms:modified xsi:type="dcterms:W3CDTF">2026-04-08T22:54:53+02:00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