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 descartável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 </w:t></w:r></w:p><w:p><w:pPr><w:spacing w:line="288" w:lineRule="auto"/></w:pPr><w:r><w:rPr><w:rFonts w:ascii="Calibri" w:hAnsi="Calibri" w:eastAsia="Calibri" w:cs="Calibri"/><w:sz w:val="22"/><w:szCs w:val="22"/></w:rPr><w:t xml:space="preserve">Fornecida com 1 bica removível descartável em Hostaform® com quebra-jatos estrela. 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20040/30040) que permitem uma proteção imediata contra as infeções de origem hídrica, ou 2 bicas inox (ref. 20002) para uma limpeza/descalcificação interna completa ou 15 bicas descartáveis (ref. 20015). 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 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 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2025-05-30T18:41:06+02:00</dcterms:created>
  <dcterms:modified xsi:type="dcterms:W3CDTF">2025-05-30T18:41:06+02:00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